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EBBF" w14:textId="77777777" w:rsidR="00CA5DA8" w:rsidRDefault="00CA5DA8" w:rsidP="00CA5DA8">
      <w:pPr>
        <w:tabs>
          <w:tab w:val="left" w:pos="1800"/>
        </w:tabs>
        <w:rPr>
          <w:rFonts w:asciiTheme="minorHAnsi" w:hAnsiTheme="minorHAnsi" w:cstheme="minorHAnsi"/>
          <w:szCs w:val="22"/>
        </w:rPr>
      </w:pPr>
      <w:bookmarkStart w:id="0" w:name="_Hlk163733008"/>
      <w:r>
        <w:rPr>
          <w:rFonts w:asciiTheme="minorHAnsi" w:hAnsiTheme="minorHAnsi" w:cstheme="minorHAnsi"/>
          <w:szCs w:val="22"/>
        </w:rPr>
        <w:t>FOR IMMEDIATE RELEASE</w:t>
      </w:r>
    </w:p>
    <w:p w14:paraId="211DCB44" w14:textId="3518FF0D" w:rsidR="00CA5DA8" w:rsidRPr="002837B4" w:rsidRDefault="002837B4" w:rsidP="00CA5DA8">
      <w:pPr>
        <w:tabs>
          <w:tab w:val="left" w:pos="180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April 1, 2025</w:t>
      </w:r>
    </w:p>
    <w:p w14:paraId="0F0BB11E" w14:textId="77777777" w:rsidR="00CA5DA8" w:rsidRPr="000551F4" w:rsidRDefault="00CA5DA8" w:rsidP="00CA5DA8">
      <w:pPr>
        <w:tabs>
          <w:tab w:val="left" w:pos="1800"/>
        </w:tabs>
        <w:rPr>
          <w:rFonts w:asciiTheme="minorHAnsi" w:hAnsiTheme="minorHAnsi" w:cstheme="minorHAnsi"/>
          <w:b/>
          <w:bCs/>
          <w:szCs w:val="22"/>
          <w:highlight w:val="yellow"/>
        </w:rPr>
      </w:pPr>
    </w:p>
    <w:p w14:paraId="60A11095" w14:textId="77777777" w:rsidR="002837B4" w:rsidRDefault="00CA5DA8" w:rsidP="00CA5DA8">
      <w:pPr>
        <w:tabs>
          <w:tab w:val="left" w:pos="1800"/>
        </w:tabs>
        <w:rPr>
          <w:rFonts w:asciiTheme="minorHAnsi" w:hAnsiTheme="minorHAnsi" w:cstheme="minorHAnsi"/>
          <w:b/>
          <w:bCs/>
          <w:szCs w:val="22"/>
          <w:highlight w:val="yellow"/>
        </w:rPr>
      </w:pP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[Name]</w:t>
      </w:r>
    </w:p>
    <w:p w14:paraId="4E969554" w14:textId="70BB6866" w:rsidR="00CA5DA8" w:rsidRPr="000551F4" w:rsidRDefault="00CA5DA8" w:rsidP="00CA5DA8">
      <w:pPr>
        <w:tabs>
          <w:tab w:val="left" w:pos="1800"/>
        </w:tabs>
        <w:rPr>
          <w:rFonts w:asciiTheme="minorHAnsi" w:hAnsiTheme="minorHAnsi" w:cstheme="minorHAnsi"/>
          <w:b/>
          <w:bCs/>
          <w:szCs w:val="22"/>
          <w:highlight w:val="yellow"/>
        </w:rPr>
      </w:pP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[Title]</w:t>
      </w:r>
    </w:p>
    <w:p w14:paraId="01EB91A9" w14:textId="77777777" w:rsidR="00CA5DA8" w:rsidRPr="00406194" w:rsidRDefault="00CA5DA8" w:rsidP="00CA5DA8">
      <w:pPr>
        <w:tabs>
          <w:tab w:val="left" w:pos="1800"/>
        </w:tabs>
        <w:rPr>
          <w:rFonts w:asciiTheme="minorHAnsi" w:hAnsiTheme="minorHAnsi" w:cstheme="minorHAnsi"/>
          <w:b/>
          <w:bCs/>
          <w:szCs w:val="22"/>
        </w:rPr>
      </w:pP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[Email]</w:t>
      </w:r>
    </w:p>
    <w:p w14:paraId="453FA137" w14:textId="77777777" w:rsidR="00CA5DA8" w:rsidRPr="00406194" w:rsidRDefault="00CA5DA8" w:rsidP="00CA5DA8">
      <w:pPr>
        <w:tabs>
          <w:tab w:val="left" w:pos="1800"/>
        </w:tabs>
        <w:rPr>
          <w:rFonts w:asciiTheme="minorHAnsi" w:hAnsiTheme="minorHAnsi" w:cstheme="minorHAnsi"/>
          <w:szCs w:val="22"/>
        </w:rPr>
      </w:pPr>
    </w:p>
    <w:p w14:paraId="351883E4" w14:textId="77777777" w:rsidR="00CA5DA8" w:rsidRPr="00406194" w:rsidRDefault="00CA5DA8" w:rsidP="00CA5DA8">
      <w:pPr>
        <w:tabs>
          <w:tab w:val="left" w:pos="1800"/>
        </w:tabs>
        <w:rPr>
          <w:rFonts w:asciiTheme="minorHAnsi" w:hAnsiTheme="minorHAnsi" w:cstheme="minorHAnsi"/>
          <w:szCs w:val="22"/>
        </w:rPr>
      </w:pPr>
    </w:p>
    <w:p w14:paraId="08888232" w14:textId="77777777" w:rsidR="00CA5DA8" w:rsidRDefault="00CA5DA8" w:rsidP="00CA5DA8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F76CC3" w14:textId="6CDBEFDA" w:rsidR="00CA5DA8" w:rsidRDefault="00CA5DA8" w:rsidP="00CA5DA8">
      <w:pPr>
        <w:tabs>
          <w:tab w:val="left" w:pos="1800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51F4">
        <w:rPr>
          <w:rFonts w:asciiTheme="minorHAnsi" w:hAnsiTheme="minorHAnsi" w:cstheme="minorHAnsi"/>
          <w:b/>
          <w:sz w:val="28"/>
          <w:szCs w:val="28"/>
          <w:highlight w:val="yellow"/>
        </w:rPr>
        <w:t>[Utility</w:t>
      </w:r>
      <w:r w:rsidRPr="000551F4">
        <w:rPr>
          <w:rFonts w:asciiTheme="minorHAnsi" w:hAnsiTheme="minorHAnsi" w:cstheme="minorHAnsi"/>
          <w:b/>
          <w:sz w:val="28"/>
          <w:szCs w:val="28"/>
          <w:highlight w:val="yellow"/>
          <w:u w:val="single"/>
        </w:rPr>
        <w:t>]</w:t>
      </w:r>
      <w:r w:rsidRPr="0040619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2D9A">
        <w:rPr>
          <w:rFonts w:asciiTheme="minorHAnsi" w:hAnsiTheme="minorHAnsi" w:cstheme="minorHAnsi"/>
          <w:b/>
          <w:sz w:val="28"/>
          <w:szCs w:val="28"/>
        </w:rPr>
        <w:t>awarded</w:t>
      </w:r>
      <w:r w:rsidRPr="00406194">
        <w:rPr>
          <w:rFonts w:asciiTheme="minorHAnsi" w:hAnsiTheme="minorHAnsi" w:cstheme="minorHAnsi"/>
          <w:b/>
          <w:sz w:val="28"/>
          <w:szCs w:val="28"/>
        </w:rPr>
        <w:t xml:space="preserve"> national</w:t>
      </w:r>
      <w:r w:rsidR="00762D9A">
        <w:rPr>
          <w:rFonts w:asciiTheme="minorHAnsi" w:hAnsiTheme="minorHAnsi" w:cstheme="minorHAnsi"/>
          <w:b/>
          <w:sz w:val="28"/>
          <w:szCs w:val="28"/>
        </w:rPr>
        <w:t xml:space="preserve">ly </w:t>
      </w:r>
      <w:r w:rsidRPr="00406194">
        <w:rPr>
          <w:rFonts w:asciiTheme="minorHAnsi" w:hAnsiTheme="minorHAnsi" w:cstheme="minorHAnsi"/>
          <w:b/>
          <w:sz w:val="28"/>
          <w:szCs w:val="28"/>
        </w:rPr>
        <w:t xml:space="preserve">for outstanding safety </w:t>
      </w:r>
      <w:r>
        <w:rPr>
          <w:rFonts w:asciiTheme="minorHAnsi" w:hAnsiTheme="minorHAnsi" w:cstheme="minorHAnsi"/>
          <w:b/>
          <w:sz w:val="28"/>
          <w:szCs w:val="28"/>
        </w:rPr>
        <w:t>practices</w:t>
      </w:r>
    </w:p>
    <w:p w14:paraId="009AFFB8" w14:textId="77777777" w:rsidR="00AB393B" w:rsidRDefault="00CA5DA8" w:rsidP="00AB393B">
      <w:pPr>
        <w:tabs>
          <w:tab w:val="left" w:pos="1800"/>
        </w:tabs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 w:rsidR="00AB393B">
        <w:rPr>
          <w:rFonts w:asciiTheme="minorHAnsi" w:hAnsiTheme="minorHAnsi" w:cstheme="minorHAnsi"/>
          <w:bCs/>
          <w:i/>
          <w:iCs/>
          <w:sz w:val="28"/>
          <w:szCs w:val="28"/>
        </w:rPr>
        <w:t>American Public Power Association designates</w:t>
      </w:r>
      <w:r w:rsidR="00762D9A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Pr="000551F4">
        <w:rPr>
          <w:rFonts w:asciiTheme="minorHAnsi" w:hAnsiTheme="minorHAnsi" w:cstheme="minorHAnsi"/>
          <w:b/>
          <w:i/>
          <w:iCs/>
          <w:sz w:val="28"/>
          <w:szCs w:val="28"/>
          <w:highlight w:val="yellow"/>
        </w:rPr>
        <w:t>[Utility]</w:t>
      </w:r>
      <w:r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one of </w:t>
      </w:r>
    </w:p>
    <w:p w14:paraId="6A14624F" w14:textId="5CE96380" w:rsidR="00CA5DA8" w:rsidRPr="00AB393B" w:rsidRDefault="00CA5DA8" w:rsidP="00AB393B">
      <w:pPr>
        <w:tabs>
          <w:tab w:val="left" w:pos="1800"/>
        </w:tabs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excellence </w:t>
      </w:r>
      <w:bookmarkEnd w:id="0"/>
      <w:r w:rsidR="00762D9A">
        <w:rPr>
          <w:rFonts w:asciiTheme="minorHAnsi" w:hAnsiTheme="minorHAnsi" w:cstheme="minorHAnsi"/>
          <w:bCs/>
          <w:i/>
          <w:iCs/>
          <w:sz w:val="28"/>
          <w:szCs w:val="28"/>
        </w:rPr>
        <w:t>for overall safety standards</w:t>
      </w:r>
      <w:r w:rsidRPr="00406194">
        <w:rPr>
          <w:rFonts w:asciiTheme="minorHAnsi" w:hAnsiTheme="minorHAnsi" w:cstheme="minorHAnsi"/>
          <w:b/>
          <w:sz w:val="28"/>
          <w:szCs w:val="28"/>
        </w:rPr>
        <w:br/>
      </w:r>
    </w:p>
    <w:p w14:paraId="2B0C5913" w14:textId="77777777" w:rsidR="00CA5DA8" w:rsidRPr="00406194" w:rsidRDefault="00CA5DA8" w:rsidP="00CA5DA8">
      <w:pPr>
        <w:tabs>
          <w:tab w:val="left" w:pos="1800"/>
        </w:tabs>
        <w:jc w:val="center"/>
        <w:rPr>
          <w:rFonts w:asciiTheme="minorHAnsi" w:hAnsiTheme="minorHAnsi" w:cstheme="minorHAnsi"/>
          <w:b/>
          <w:szCs w:val="22"/>
        </w:rPr>
      </w:pPr>
    </w:p>
    <w:p w14:paraId="13C208B8" w14:textId="1441CE60" w:rsidR="00CA5DA8" w:rsidRPr="00406194" w:rsidRDefault="00CA5DA8" w:rsidP="00CA5DA8">
      <w:pPr>
        <w:rPr>
          <w:rFonts w:asciiTheme="minorHAnsi" w:hAnsiTheme="minorHAnsi" w:cstheme="minorHAnsi"/>
          <w:szCs w:val="22"/>
        </w:rPr>
      </w:pPr>
      <w:r w:rsidRPr="00406194">
        <w:rPr>
          <w:rFonts w:asciiTheme="minorHAnsi" w:hAnsiTheme="minorHAnsi" w:cstheme="minorHAnsi"/>
          <w:szCs w:val="22"/>
        </w:rPr>
        <w:t xml:space="preserve">WASHINGTON, D.C. </w:t>
      </w:r>
      <w:r>
        <w:rPr>
          <w:rFonts w:asciiTheme="minorHAnsi" w:hAnsiTheme="minorHAnsi" w:cstheme="minorHAnsi"/>
          <w:szCs w:val="22"/>
        </w:rPr>
        <w:t>–</w:t>
      </w:r>
      <w:r w:rsidRPr="00406194">
        <w:rPr>
          <w:rFonts w:asciiTheme="minorHAnsi" w:hAnsiTheme="minorHAnsi" w:cstheme="minorHAnsi"/>
          <w:szCs w:val="22"/>
        </w:rPr>
        <w:t xml:space="preserve"> </w:t>
      </w: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[Utility]</w:t>
      </w:r>
      <w:r w:rsidRPr="00406194">
        <w:rPr>
          <w:rFonts w:asciiTheme="minorHAnsi" w:hAnsiTheme="minorHAnsi" w:cstheme="minorHAnsi"/>
          <w:szCs w:val="22"/>
        </w:rPr>
        <w:t xml:space="preserve"> </w:t>
      </w:r>
      <w:r w:rsidR="00AB393B">
        <w:rPr>
          <w:rFonts w:asciiTheme="minorHAnsi" w:hAnsiTheme="minorHAnsi" w:cstheme="minorHAnsi"/>
          <w:szCs w:val="22"/>
        </w:rPr>
        <w:t xml:space="preserve">has </w:t>
      </w:r>
      <w:r w:rsidRPr="00406194">
        <w:rPr>
          <w:rFonts w:asciiTheme="minorHAnsi" w:hAnsiTheme="minorHAnsi" w:cstheme="minorHAnsi"/>
          <w:szCs w:val="22"/>
        </w:rPr>
        <w:t xml:space="preserve">earned the American Public Power Association’s Safety Award of Excellence for safe operating practices. </w:t>
      </w:r>
      <w:r w:rsidR="00AB393B">
        <w:rPr>
          <w:rFonts w:asciiTheme="minorHAnsi" w:hAnsiTheme="minorHAnsi" w:cstheme="minorHAnsi"/>
          <w:szCs w:val="22"/>
        </w:rPr>
        <w:t>More than 200 utilities from across the United States were entrants placed in categories according to their number of worker-hours.</w:t>
      </w:r>
      <w:r w:rsidRPr="00406194">
        <w:rPr>
          <w:rFonts w:asciiTheme="minorHAnsi" w:hAnsiTheme="minorHAnsi" w:cstheme="minorHAnsi"/>
          <w:szCs w:val="22"/>
        </w:rPr>
        <w:t xml:space="preserve"> </w:t>
      </w:r>
    </w:p>
    <w:p w14:paraId="15D53404" w14:textId="77777777" w:rsidR="00CA5DA8" w:rsidRPr="00406194" w:rsidRDefault="00CA5DA8" w:rsidP="00CA5DA8">
      <w:pPr>
        <w:rPr>
          <w:rFonts w:asciiTheme="minorHAnsi" w:hAnsiTheme="minorHAnsi" w:cstheme="minorHAnsi"/>
          <w:szCs w:val="22"/>
        </w:rPr>
      </w:pPr>
    </w:p>
    <w:p w14:paraId="2F3947A2" w14:textId="31C65C92" w:rsidR="00CA5DA8" w:rsidRPr="00406194" w:rsidRDefault="00CA5DA8" w:rsidP="00CA5DA8">
      <w:pPr>
        <w:rPr>
          <w:rFonts w:asciiTheme="minorHAnsi" w:hAnsiTheme="minorHAnsi" w:cstheme="minorHAnsi"/>
          <w:szCs w:val="22"/>
        </w:rPr>
      </w:pPr>
      <w:bookmarkStart w:id="1" w:name="_Hlk163733246"/>
      <w:r w:rsidRPr="0066731C">
        <w:rPr>
          <w:rFonts w:asciiTheme="minorHAnsi" w:hAnsiTheme="minorHAnsi" w:cstheme="minorHAnsi"/>
          <w:szCs w:val="22"/>
        </w:rPr>
        <w:t>“</w:t>
      </w: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[Utility]</w:t>
      </w:r>
      <w:r w:rsidRPr="000551F4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is proud to receive this award </w:t>
      </w:r>
      <w:r w:rsidR="00AB393B">
        <w:rPr>
          <w:rFonts w:asciiTheme="minorHAnsi" w:hAnsiTheme="minorHAnsi" w:cstheme="minorHAnsi"/>
          <w:szCs w:val="22"/>
        </w:rPr>
        <w:t xml:space="preserve">because it stresses </w:t>
      </w:r>
      <w:r>
        <w:rPr>
          <w:rFonts w:asciiTheme="minorHAnsi" w:hAnsiTheme="minorHAnsi" w:cstheme="minorHAnsi"/>
          <w:szCs w:val="22"/>
        </w:rPr>
        <w:t xml:space="preserve">shows how important the </w:t>
      </w:r>
      <w:r w:rsidR="00AB393B">
        <w:rPr>
          <w:rFonts w:asciiTheme="minorHAnsi" w:hAnsiTheme="minorHAnsi" w:cstheme="minorHAnsi"/>
          <w:szCs w:val="22"/>
        </w:rPr>
        <w:t>wellbeing</w:t>
      </w:r>
      <w:r>
        <w:rPr>
          <w:rFonts w:asciiTheme="minorHAnsi" w:hAnsiTheme="minorHAnsi" w:cstheme="minorHAnsi"/>
          <w:szCs w:val="22"/>
        </w:rPr>
        <w:t xml:space="preserve"> of our workers is</w:t>
      </w:r>
      <w:r w:rsidR="00AB393B">
        <w:rPr>
          <w:rFonts w:asciiTheme="minorHAnsi" w:hAnsiTheme="minorHAnsi" w:cstheme="minorHAnsi"/>
          <w:szCs w:val="22"/>
        </w:rPr>
        <w:t xml:space="preserve"> to us</w:t>
      </w:r>
      <w:r>
        <w:rPr>
          <w:rFonts w:asciiTheme="minorHAnsi" w:hAnsiTheme="minorHAnsi" w:cstheme="minorHAnsi"/>
          <w:szCs w:val="22"/>
        </w:rPr>
        <w:t xml:space="preserve">,” said </w:t>
      </w: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>[Name]</w:t>
      </w:r>
      <w:r w:rsidRPr="000551F4">
        <w:rPr>
          <w:rFonts w:asciiTheme="minorHAnsi" w:hAnsiTheme="minorHAnsi" w:cstheme="minorHAnsi"/>
          <w:szCs w:val="22"/>
        </w:rPr>
        <w:t>,</w:t>
      </w:r>
      <w:r w:rsidRPr="000551F4">
        <w:rPr>
          <w:rFonts w:asciiTheme="minorHAnsi" w:hAnsiTheme="minorHAnsi" w:cstheme="minorHAnsi"/>
          <w:b/>
          <w:bCs/>
          <w:szCs w:val="22"/>
          <w:highlight w:val="yellow"/>
        </w:rPr>
        <w:t xml:space="preserve"> [title]</w:t>
      </w:r>
      <w:r w:rsidRPr="0066731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“We want to do everything </w:t>
      </w:r>
      <w:r w:rsidR="007F74F3">
        <w:rPr>
          <w:rFonts w:asciiTheme="minorHAnsi" w:hAnsiTheme="minorHAnsi" w:cstheme="minorHAnsi"/>
          <w:szCs w:val="22"/>
        </w:rPr>
        <w:t>possible</w:t>
      </w:r>
      <w:r>
        <w:rPr>
          <w:rFonts w:asciiTheme="minorHAnsi" w:hAnsiTheme="minorHAnsi" w:cstheme="minorHAnsi"/>
          <w:szCs w:val="22"/>
        </w:rPr>
        <w:t xml:space="preserve"> to </w:t>
      </w:r>
      <w:r w:rsidR="00AB393B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>sure everyone gets home safely</w:t>
      </w:r>
      <w:r w:rsidR="00AB393B">
        <w:rPr>
          <w:rFonts w:asciiTheme="minorHAnsi" w:hAnsiTheme="minorHAnsi" w:cstheme="minorHAnsi"/>
          <w:szCs w:val="22"/>
        </w:rPr>
        <w:t>.”</w:t>
      </w:r>
    </w:p>
    <w:bookmarkEnd w:id="1"/>
    <w:p w14:paraId="437DE4F2" w14:textId="77777777" w:rsidR="00CA5DA8" w:rsidRPr="00406194" w:rsidRDefault="00CA5DA8" w:rsidP="00CA5DA8">
      <w:pPr>
        <w:rPr>
          <w:rFonts w:asciiTheme="minorHAnsi" w:hAnsiTheme="minorHAnsi" w:cstheme="minorHAnsi"/>
          <w:szCs w:val="22"/>
        </w:rPr>
      </w:pPr>
    </w:p>
    <w:p w14:paraId="4FC5029C" w14:textId="13D94C86" w:rsidR="00CA5DA8" w:rsidRPr="00406194" w:rsidRDefault="00AB393B" w:rsidP="00CA5DA8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There were a total of 202 awardees across all categories.</w:t>
      </w:r>
      <w:r w:rsidR="00CA5DA8" w:rsidRPr="00406194">
        <w:rPr>
          <w:rFonts w:asciiTheme="minorHAnsi" w:hAnsiTheme="minorHAnsi" w:cstheme="minorHAnsi"/>
          <w:szCs w:val="22"/>
        </w:rPr>
        <w:t xml:space="preserve"> Recipients were ranked by the highest number of incident-free records and overall safety programs and culture in 202</w:t>
      </w:r>
      <w:r>
        <w:rPr>
          <w:rFonts w:asciiTheme="minorHAnsi" w:hAnsiTheme="minorHAnsi" w:cstheme="minorHAnsi"/>
          <w:szCs w:val="22"/>
        </w:rPr>
        <w:t>4</w:t>
      </w:r>
      <w:r w:rsidR="00CA5DA8" w:rsidRPr="00406194">
        <w:rPr>
          <w:rFonts w:asciiTheme="minorHAnsi" w:hAnsiTheme="minorHAnsi" w:cstheme="minorHAnsi"/>
          <w:szCs w:val="22"/>
        </w:rPr>
        <w:t>.</w:t>
      </w:r>
      <w:r w:rsidR="00CA5DA8">
        <w:rPr>
          <w:rFonts w:asciiTheme="minorHAnsi" w:hAnsiTheme="minorHAnsi" w:cstheme="minorHAnsi"/>
          <w:szCs w:val="22"/>
        </w:rPr>
        <w:br/>
      </w:r>
    </w:p>
    <w:p w14:paraId="54020DB0" w14:textId="7F6F9CE8" w:rsidR="00CA5DA8" w:rsidRPr="00406194" w:rsidRDefault="009406A3" w:rsidP="00CA5DA8">
      <w:pPr>
        <w:rPr>
          <w:rFonts w:asciiTheme="minorHAnsi" w:hAnsiTheme="minorHAnsi" w:cstheme="minorHAnsi"/>
          <w:szCs w:val="22"/>
        </w:rPr>
      </w:pPr>
      <w:r w:rsidRPr="009406A3">
        <w:rPr>
          <w:rFonts w:asciiTheme="minorHAnsi" w:hAnsiTheme="minorHAnsi" w:cstheme="minorHAnsi"/>
          <w:szCs w:val="22"/>
        </w:rPr>
        <w:t xml:space="preserve">“Harnessing electricity to keep our communities powered is vital work that can be dangerous, even deadly, if the proper attention isn’t paid to tried-and-true safety practices,” said Jon Beasley, </w:t>
      </w:r>
      <w:r w:rsidR="00EF3DCF">
        <w:rPr>
          <w:rFonts w:asciiTheme="minorHAnsi" w:hAnsiTheme="minorHAnsi" w:cstheme="minorHAnsi"/>
          <w:szCs w:val="22"/>
        </w:rPr>
        <w:t>c</w:t>
      </w:r>
      <w:r w:rsidRPr="009406A3">
        <w:rPr>
          <w:rFonts w:asciiTheme="minorHAnsi" w:hAnsiTheme="minorHAnsi" w:cstheme="minorHAnsi"/>
          <w:szCs w:val="22"/>
        </w:rPr>
        <w:t>hair of APPA’s Safety Committee. “This award honors utilities that hold fast to these practices and – in doing so – put the safety of their personnel and their customers above all else.”</w:t>
      </w:r>
      <w:r w:rsidR="00CA5DA8">
        <w:rPr>
          <w:rFonts w:asciiTheme="minorHAnsi" w:hAnsiTheme="minorHAnsi" w:cstheme="minorHAnsi"/>
          <w:szCs w:val="22"/>
        </w:rPr>
        <w:br/>
      </w:r>
    </w:p>
    <w:p w14:paraId="6DD3EBCE" w14:textId="7A1FE655" w:rsidR="00CA5DA8" w:rsidRPr="00406194" w:rsidRDefault="00CA5DA8" w:rsidP="00CA5DA8">
      <w:pPr>
        <w:pStyle w:val="BodyText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406194">
        <w:rPr>
          <w:rFonts w:asciiTheme="minorHAnsi" w:hAnsiTheme="minorHAnsi" w:cstheme="minorHAnsi"/>
          <w:sz w:val="22"/>
          <w:szCs w:val="22"/>
        </w:rPr>
        <w:t>The Safety Awards have been held annually for more than 65 years. The American Public Power Association is the voice of not-for-profit, community</w:t>
      </w:r>
      <w:r w:rsidR="00AB393B">
        <w:rPr>
          <w:rFonts w:asciiTheme="minorHAnsi" w:hAnsiTheme="minorHAnsi" w:cstheme="minorHAnsi"/>
          <w:sz w:val="22"/>
          <w:szCs w:val="22"/>
        </w:rPr>
        <w:t xml:space="preserve"> </w:t>
      </w:r>
      <w:r w:rsidRPr="00406194">
        <w:rPr>
          <w:rFonts w:asciiTheme="minorHAnsi" w:hAnsiTheme="minorHAnsi" w:cstheme="minorHAnsi"/>
          <w:sz w:val="22"/>
          <w:szCs w:val="22"/>
        </w:rPr>
        <w:t>owned utilities that power 2,000 towns and cities nationwide.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60A39FD" w14:textId="77777777" w:rsidR="00CA5DA8" w:rsidRPr="00406194" w:rsidRDefault="00CA5DA8" w:rsidP="00CA5DA8">
      <w:pPr>
        <w:pStyle w:val="BodyText"/>
        <w:spacing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406194">
        <w:rPr>
          <w:rFonts w:asciiTheme="minorHAnsi" w:hAnsiTheme="minorHAnsi" w:cstheme="minorHAnsi"/>
          <w:sz w:val="22"/>
          <w:szCs w:val="22"/>
        </w:rPr>
        <w:t>###</w:t>
      </w:r>
    </w:p>
    <w:p w14:paraId="3578C3AD" w14:textId="77777777" w:rsidR="00082F9F" w:rsidRDefault="00082F9F"/>
    <w:sectPr w:rsidR="00082F9F" w:rsidSect="00CA5DA8">
      <w:pgSz w:w="12240" w:h="15840"/>
      <w:pgMar w:top="1440" w:right="1440" w:bottom="9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Bskvll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Baskervill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A8"/>
    <w:rsid w:val="0005515C"/>
    <w:rsid w:val="00082F9F"/>
    <w:rsid w:val="00090DC0"/>
    <w:rsid w:val="000E0E5F"/>
    <w:rsid w:val="00135425"/>
    <w:rsid w:val="002837B4"/>
    <w:rsid w:val="00342F87"/>
    <w:rsid w:val="00423573"/>
    <w:rsid w:val="00457013"/>
    <w:rsid w:val="004C2EE4"/>
    <w:rsid w:val="00691E56"/>
    <w:rsid w:val="00762D9A"/>
    <w:rsid w:val="007F74F3"/>
    <w:rsid w:val="008317E2"/>
    <w:rsid w:val="009406A3"/>
    <w:rsid w:val="0097191C"/>
    <w:rsid w:val="009F6FB7"/>
    <w:rsid w:val="00A20A97"/>
    <w:rsid w:val="00AB393B"/>
    <w:rsid w:val="00B04D53"/>
    <w:rsid w:val="00B96730"/>
    <w:rsid w:val="00CA5DA8"/>
    <w:rsid w:val="00E84F10"/>
    <w:rsid w:val="00EF29AB"/>
    <w:rsid w:val="00EF3DCF"/>
    <w:rsid w:val="00F2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EF33"/>
  <w15:chartTrackingRefBased/>
  <w15:docId w15:val="{BE404CDF-2B95-430F-859E-895257D7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DA8"/>
    <w:pPr>
      <w:spacing w:after="0" w:line="240" w:lineRule="auto"/>
    </w:pPr>
    <w:rPr>
      <w:rFonts w:ascii="NewBskvll BT" w:eastAsia="Times New Roman" w:hAnsi="NewBskvll BT" w:cs="Times New Roman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D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D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D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DA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CA5DA8"/>
    <w:pPr>
      <w:spacing w:line="360" w:lineRule="auto"/>
    </w:pPr>
    <w:rPr>
      <w:rFonts w:ascii="New Baskerville" w:hAnsi="New Baskerville"/>
      <w:sz w:val="24"/>
    </w:rPr>
  </w:style>
  <w:style w:type="character" w:customStyle="1" w:styleId="BodyTextChar">
    <w:name w:val="Body Text Char"/>
    <w:basedOn w:val="DefaultParagraphFont"/>
    <w:link w:val="BodyText"/>
    <w:rsid w:val="00CA5DA8"/>
    <w:rPr>
      <w:rFonts w:ascii="New Baskerville" w:eastAsia="Times New Roman" w:hAnsi="New Baskervill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Cooke</dc:creator>
  <cp:keywords/>
  <dc:description/>
  <cp:lastModifiedBy>Bridget Cooke</cp:lastModifiedBy>
  <cp:revision>2</cp:revision>
  <dcterms:created xsi:type="dcterms:W3CDTF">2025-04-03T18:16:00Z</dcterms:created>
  <dcterms:modified xsi:type="dcterms:W3CDTF">2025-04-03T18:16:00Z</dcterms:modified>
</cp:coreProperties>
</file>